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eastAsia"/>
        </w:rPr>
      </w:pPr>
      <w:r>
        <w:rPr>
          <w:rFonts w:hint="eastAsia" w:ascii="楷体_GB2312" w:hAnsi="楷体_GB2312" w:eastAsia="楷体_GB2312" w:cs="楷体_GB2312"/>
          <w:sz w:val="32"/>
          <w:szCs w:val="32"/>
          <w:lang w:val="en-US" w:eastAsia="zh-CN"/>
        </w:rPr>
        <w:t>县妇联党组书记  孙秋宾</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今年以来，本人在县委、县政府的正确领导下，带领县妇联全体党员干部立足本职，围绕全县重点工作，聚焦聚力法治宝丰建设，多措并举，进一步提升了广大妇儿依法维权意识，助力营造良好社会氛围。现将本人2023年度履行推进法治建设第一责任人职责情况报告如下:</w:t>
      </w:r>
    </w:p>
    <w:p>
      <w:pPr>
        <w:ind w:firstLine="640" w:firstLineChars="200"/>
        <w:jc w:val="both"/>
        <w:rPr>
          <w:rFonts w:hint="eastAsia" w:ascii="黑体" w:hAnsi="黑体" w:eastAsia="黑体" w:cs="黑体"/>
          <w:sz w:val="32"/>
          <w:szCs w:val="32"/>
          <w:highlight w:val="none"/>
        </w:rPr>
      </w:pPr>
      <w:r>
        <w:rPr>
          <w:rFonts w:hint="eastAsia" w:ascii="黑体" w:hAnsi="黑体" w:eastAsia="黑体" w:cs="黑体"/>
          <w:sz w:val="32"/>
          <w:szCs w:val="32"/>
          <w:highlight w:val="none"/>
        </w:rPr>
        <w:t>一、</w:t>
      </w:r>
      <w:r>
        <w:rPr>
          <w:rFonts w:hint="eastAsia" w:ascii="黑体" w:hAnsi="黑体" w:eastAsia="黑体" w:cs="黑体"/>
          <w:sz w:val="32"/>
          <w:szCs w:val="32"/>
          <w:lang w:val="en-US" w:eastAsia="zh-CN"/>
        </w:rPr>
        <w:t>履职情况</w:t>
      </w:r>
    </w:p>
    <w:p>
      <w:pPr>
        <w:ind w:firstLine="640" w:firstLineChars="200"/>
        <w:jc w:val="both"/>
        <w:rPr>
          <w:rFonts w:hint="eastAsia" w:ascii="楷体_GB2312" w:hAnsi="楷体_GB2312" w:eastAsia="楷体_GB2312" w:cs="楷体_GB2312"/>
          <w:b w:val="0"/>
          <w:bCs w:val="0"/>
          <w:sz w:val="32"/>
          <w:szCs w:val="32"/>
          <w:highlight w:val="none"/>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一</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b w:val="0"/>
          <w:bCs w:val="0"/>
          <w:sz w:val="32"/>
          <w:szCs w:val="32"/>
          <w:highlight w:val="none"/>
        </w:rPr>
        <w:t>加强领导，健全机构，推动</w:t>
      </w:r>
      <w:r>
        <w:rPr>
          <w:rFonts w:hint="eastAsia" w:ascii="楷体_GB2312" w:hAnsi="楷体_GB2312" w:eastAsia="楷体_GB2312" w:cs="楷体_GB2312"/>
          <w:b w:val="0"/>
          <w:bCs w:val="0"/>
          <w:sz w:val="32"/>
          <w:szCs w:val="32"/>
          <w:highlight w:val="none"/>
          <w:lang w:val="en-US" w:eastAsia="zh-CN"/>
        </w:rPr>
        <w:t>法治</w:t>
      </w:r>
      <w:r>
        <w:rPr>
          <w:rFonts w:hint="eastAsia" w:ascii="楷体_GB2312" w:hAnsi="楷体_GB2312" w:eastAsia="楷体_GB2312" w:cs="楷体_GB2312"/>
          <w:b w:val="0"/>
          <w:bCs w:val="0"/>
          <w:sz w:val="32"/>
          <w:szCs w:val="32"/>
          <w:highlight w:val="none"/>
        </w:rPr>
        <w:t>建设顺利实施</w:t>
      </w:r>
    </w:p>
    <w:p>
      <w:pPr>
        <w:numPr>
          <w:ilvl w:val="0"/>
          <w:numId w:val="0"/>
        </w:numPr>
        <w:ind w:firstLine="640" w:firstLineChars="200"/>
        <w:jc w:val="both"/>
        <w:rPr>
          <w:rFonts w:hint="eastAsia"/>
        </w:rPr>
      </w:pPr>
      <w:r>
        <w:rPr>
          <w:rFonts w:hint="eastAsia" w:ascii="仿宋_GB2312" w:hAnsi="仿宋_GB2312" w:eastAsia="仿宋_GB2312" w:cs="仿宋_GB2312"/>
          <w:sz w:val="32"/>
          <w:szCs w:val="32"/>
          <w:lang w:val="en-US" w:eastAsia="zh-CN"/>
        </w:rPr>
        <w:t>按照《党政主要负责人履行推进法治建设第一责任人职责规定》，以及省、市贯彻落实办法要求，本人</w:t>
      </w:r>
      <w:r>
        <w:rPr>
          <w:rFonts w:hint="eastAsia" w:ascii="仿宋_GB2312" w:hAnsi="仿宋_GB2312" w:eastAsia="仿宋_GB2312" w:cs="仿宋_GB2312"/>
          <w:color w:val="000000"/>
          <w:kern w:val="2"/>
          <w:sz w:val="32"/>
          <w:szCs w:val="32"/>
          <w:lang w:val="en-US" w:eastAsia="zh-CN" w:bidi="ar-SA"/>
        </w:rPr>
        <w:t>高度重视法治建设工作，坚持把法治建设工作与妇联业务紧密地结合在一起，认真谋划、精心组织。</w:t>
      </w:r>
      <w:r>
        <w:rPr>
          <w:rFonts w:hint="eastAsia" w:ascii="仿宋_GB2312" w:hAnsi="仿宋_GB2312" w:eastAsia="仿宋_GB2312" w:cs="仿宋_GB2312"/>
          <w:b/>
          <w:bCs/>
          <w:color w:val="000000"/>
          <w:kern w:val="2"/>
          <w:sz w:val="32"/>
          <w:szCs w:val="32"/>
          <w:lang w:val="en-US" w:eastAsia="zh-CN" w:bidi="ar-SA"/>
        </w:rPr>
        <w:t>一是</w:t>
      </w:r>
      <w:r>
        <w:rPr>
          <w:rFonts w:hint="eastAsia" w:ascii="仿宋_GB2312" w:hAnsi="仿宋_GB2312" w:eastAsia="仿宋_GB2312" w:cs="仿宋_GB2312"/>
          <w:color w:val="000000"/>
          <w:kern w:val="2"/>
          <w:sz w:val="32"/>
          <w:szCs w:val="32"/>
          <w:lang w:val="en-US" w:eastAsia="zh-CN" w:bidi="ar-SA"/>
        </w:rPr>
        <w:t>加强组织领导。将普法宣传工作作为重点工作纳入《宝丰县妇联</w:t>
      </w:r>
      <w:r>
        <w:rPr>
          <w:rFonts w:hint="default" w:ascii="仿宋_GB2312" w:hAnsi="仿宋_GB2312" w:eastAsia="仿宋_GB2312" w:cs="仿宋_GB2312"/>
          <w:color w:val="000000"/>
          <w:kern w:val="2"/>
          <w:sz w:val="32"/>
          <w:szCs w:val="32"/>
          <w:lang w:val="en-US" w:eastAsia="zh-CN" w:bidi="ar-SA"/>
        </w:rPr>
        <w:t>2023</w:t>
      </w:r>
      <w:r>
        <w:rPr>
          <w:rFonts w:hint="eastAsia" w:ascii="仿宋_GB2312" w:hAnsi="仿宋_GB2312" w:eastAsia="仿宋_GB2312" w:cs="仿宋_GB2312"/>
          <w:color w:val="000000"/>
          <w:kern w:val="2"/>
          <w:sz w:val="32"/>
          <w:szCs w:val="32"/>
          <w:lang w:val="en-US" w:eastAsia="zh-CN" w:bidi="ar-SA"/>
        </w:rPr>
        <w:t>年工作要点》，制定《宝丰县妇联开展法治宣传工作实施方案》，指导全县妇联组织开展普法宣传工作，确保普法活动有序开展。</w:t>
      </w:r>
      <w:r>
        <w:rPr>
          <w:rFonts w:hint="eastAsia" w:ascii="仿宋_GB2312" w:hAnsi="仿宋_GB2312" w:eastAsia="仿宋_GB2312" w:cs="仿宋_GB2312"/>
          <w:b/>
          <w:bCs/>
          <w:color w:val="000000"/>
          <w:kern w:val="2"/>
          <w:sz w:val="32"/>
          <w:szCs w:val="32"/>
          <w:lang w:val="en-US" w:eastAsia="zh-CN" w:bidi="ar-SA"/>
        </w:rPr>
        <w:t>二是</w:t>
      </w:r>
      <w:r>
        <w:rPr>
          <w:rFonts w:hint="eastAsia" w:ascii="仿宋_GB2312" w:hAnsi="仿宋_GB2312" w:eastAsia="仿宋_GB2312" w:cs="仿宋_GB2312"/>
          <w:color w:val="000000"/>
          <w:kern w:val="2"/>
          <w:sz w:val="32"/>
          <w:szCs w:val="32"/>
          <w:lang w:val="en-US" w:eastAsia="zh-CN" w:bidi="ar-SA"/>
        </w:rPr>
        <w:t>带头深入学习。严格履行推进法治建设第一责任人职责,安排领导班子成员在党组会、中心组学习等会上深入学习领会习近平法治思想、法治政府建设等有关文件内容，为推动法治建设提供保障、创造条件。</w:t>
      </w:r>
      <w:r>
        <w:rPr>
          <w:rFonts w:hint="eastAsia" w:ascii="仿宋_GB2312" w:hAnsi="仿宋_GB2312" w:eastAsia="仿宋_GB2312" w:cs="仿宋_GB2312"/>
          <w:b/>
          <w:bCs/>
          <w:color w:val="000000"/>
          <w:kern w:val="2"/>
          <w:sz w:val="32"/>
          <w:szCs w:val="32"/>
          <w:lang w:val="en-US" w:eastAsia="zh-CN" w:bidi="ar-SA"/>
        </w:rPr>
        <w:t>三是</w:t>
      </w:r>
      <w:r>
        <w:rPr>
          <w:rFonts w:hint="eastAsia" w:ascii="仿宋_GB2312" w:hAnsi="仿宋_GB2312" w:eastAsia="仿宋_GB2312" w:cs="仿宋_GB2312"/>
          <w:color w:val="000000"/>
          <w:kern w:val="2"/>
          <w:sz w:val="32"/>
          <w:szCs w:val="32"/>
          <w:lang w:val="en-US" w:eastAsia="zh-CN" w:bidi="ar-SA"/>
        </w:rPr>
        <w:t>深化责任落实。将法治工作纳入重要议事日程，定期召开会议，定期研究部署，经常听取汇报，妥善解决法治建设工作中存在的困难和问题。研究部署工作，明确目标，提高妇联维权工作成效。</w:t>
      </w:r>
    </w:p>
    <w:p>
      <w:pPr>
        <w:ind w:firstLine="640" w:firstLineChars="200"/>
        <w:jc w:val="both"/>
        <w:rPr>
          <w:rFonts w:hint="eastAsia" w:ascii="楷体_GB2312" w:hAnsi="楷体_GB2312" w:eastAsia="楷体_GB2312" w:cs="楷体_GB2312"/>
          <w:sz w:val="32"/>
          <w:szCs w:val="32"/>
          <w:highlight w:val="none"/>
          <w:lang w:eastAsia="zh-CN"/>
        </w:rPr>
      </w:pPr>
      <w:r>
        <w:rPr>
          <w:rFonts w:hint="eastAsia" w:ascii="楷体_GB2312" w:hAnsi="楷体_GB2312" w:eastAsia="楷体_GB2312" w:cs="楷体_GB2312"/>
          <w:sz w:val="32"/>
          <w:szCs w:val="32"/>
          <w:highlight w:val="none"/>
          <w:lang w:val="en-US" w:eastAsia="zh-CN"/>
        </w:rPr>
        <w:t>（二）</w:t>
      </w:r>
      <w:r>
        <w:rPr>
          <w:rFonts w:hint="eastAsia" w:ascii="楷体_GB2312" w:hAnsi="楷体_GB2312" w:eastAsia="楷体_GB2312" w:cs="楷体_GB2312"/>
          <w:sz w:val="32"/>
          <w:szCs w:val="32"/>
          <w:highlight w:val="none"/>
          <w:lang w:eastAsia="zh-CN"/>
        </w:rPr>
        <w:t>精心组织，</w:t>
      </w:r>
      <w:r>
        <w:rPr>
          <w:rFonts w:hint="eastAsia" w:ascii="楷体_GB2312" w:hAnsi="楷体_GB2312" w:eastAsia="楷体_GB2312" w:cs="楷体_GB2312"/>
          <w:sz w:val="32"/>
          <w:szCs w:val="32"/>
          <w:highlight w:val="none"/>
          <w:lang w:val="en-US" w:eastAsia="zh-CN"/>
        </w:rPr>
        <w:t>精准发力</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营造</w:t>
      </w:r>
      <w:r>
        <w:rPr>
          <w:rFonts w:hint="eastAsia" w:ascii="楷体_GB2312" w:hAnsi="楷体_GB2312" w:eastAsia="楷体_GB2312" w:cs="楷体_GB2312"/>
          <w:sz w:val="32"/>
          <w:szCs w:val="32"/>
          <w:highlight w:val="none"/>
          <w:lang w:eastAsia="zh-CN"/>
        </w:rPr>
        <w:t>普法宣传</w:t>
      </w:r>
      <w:r>
        <w:rPr>
          <w:rFonts w:hint="eastAsia" w:ascii="楷体_GB2312" w:hAnsi="楷体_GB2312" w:eastAsia="楷体_GB2312" w:cs="楷体_GB2312"/>
          <w:sz w:val="32"/>
          <w:szCs w:val="32"/>
          <w:highlight w:val="none"/>
          <w:lang w:val="en-US" w:eastAsia="zh-CN"/>
        </w:rPr>
        <w:t>良好氛围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常态化开展普法宣传。</w:t>
      </w:r>
      <w:r>
        <w:rPr>
          <w:rFonts w:hint="eastAsia" w:ascii="仿宋_GB2312" w:hAnsi="仿宋_GB2312" w:eastAsia="仿宋_GB2312" w:cs="仿宋_GB2312"/>
          <w:kern w:val="2"/>
          <w:sz w:val="32"/>
          <w:szCs w:val="32"/>
          <w:lang w:val="en-US" w:eastAsia="zh-CN" w:bidi="ar-SA"/>
        </w:rPr>
        <w:t>进一步推动预防和制止家庭暴力工作，维护妇女儿童合法权益，促进家庭和谐、社会稳定。以“三八”妇女节、“六一儿童节”为契机，通过线上线下相结合的方式，利用微信公众号、微信群等新媒体常态化开展普法宣传活动，开展送法进学校、进社区、进企业等线下宣传14场，发布宣传文章70余篇，进一步增强了广大妇女的法律维权意识，营造了家庭和谐的良好社会氛围，真正使法治宣传和维权服务走到广大妇女群众身边。</w:t>
      </w:r>
    </w:p>
    <w:p>
      <w:pPr>
        <w:numPr>
          <w:ilvl w:val="0"/>
          <w:numId w:val="0"/>
        </w:numPr>
        <w:ind w:firstLine="643"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加强维权队伍建设。</w:t>
      </w:r>
      <w:r>
        <w:rPr>
          <w:rFonts w:hint="eastAsia" w:ascii="仿宋_GB2312" w:hAnsi="仿宋_GB2312" w:eastAsia="仿宋_GB2312" w:cs="仿宋_GB2312"/>
          <w:kern w:val="2"/>
          <w:sz w:val="32"/>
          <w:szCs w:val="32"/>
          <w:lang w:val="en-US" w:eastAsia="zh-CN" w:bidi="ar-SA"/>
        </w:rPr>
        <w:t>以落实“八五”普法，推进法治建设为契机，加强“巾帼法律明白人”评选、培育、管理和使用机制，</w:t>
      </w:r>
      <w:r>
        <w:rPr>
          <w:rFonts w:hint="default" w:ascii="仿宋_GB2312" w:hAnsi="仿宋_GB2312" w:eastAsia="仿宋_GB2312" w:cs="仿宋_GB2312"/>
          <w:kern w:val="2"/>
          <w:sz w:val="32"/>
          <w:szCs w:val="32"/>
          <w:lang w:val="en-US" w:eastAsia="zh-CN" w:bidi="ar-SA"/>
        </w:rPr>
        <w:t>一体化推进“</w:t>
      </w:r>
      <w:r>
        <w:rPr>
          <w:rFonts w:hint="eastAsia" w:ascii="仿宋_GB2312" w:hAnsi="仿宋_GB2312" w:eastAsia="仿宋_GB2312" w:cs="仿宋_GB2312"/>
          <w:kern w:val="2"/>
          <w:sz w:val="32"/>
          <w:szCs w:val="32"/>
          <w:lang w:val="en-US" w:eastAsia="zh-CN" w:bidi="ar-SA"/>
        </w:rPr>
        <w:t>巾帼</w:t>
      </w:r>
      <w:r>
        <w:rPr>
          <w:rFonts w:hint="default" w:ascii="仿宋_GB2312" w:hAnsi="仿宋_GB2312" w:eastAsia="仿宋_GB2312" w:cs="仿宋_GB2312"/>
          <w:kern w:val="2"/>
          <w:sz w:val="32"/>
          <w:szCs w:val="32"/>
          <w:lang w:val="en-US" w:eastAsia="zh-CN" w:bidi="ar-SA"/>
        </w:rPr>
        <w:t>法律明白人”培育工程</w:t>
      </w:r>
      <w:r>
        <w:rPr>
          <w:rFonts w:hint="eastAsia" w:ascii="仿宋_GB2312" w:hAnsi="仿宋_GB2312" w:eastAsia="仿宋_GB2312" w:cs="仿宋_GB2312"/>
          <w:kern w:val="2"/>
          <w:sz w:val="32"/>
          <w:szCs w:val="32"/>
          <w:lang w:val="en-US" w:eastAsia="zh-CN" w:bidi="ar-SA"/>
        </w:rPr>
        <w:t>，举办“巾帼法律明白人”培训73期，参与2338人（次），推荐市级1个“巾帼法律示范村（社区）”，10个“巾帼法律带头人”100个优秀“巾帼法律明白人”。通过培训提升妇联干部的法治素养和依法维护妇女群众权益的工作能力，切实增强基层妇联干部维权工作的责任感、使命感，更好地让法治观念走进群众身边、融入百姓生活。</w:t>
      </w:r>
    </w:p>
    <w:p>
      <w:pPr>
        <w:ind w:firstLine="640" w:firstLineChars="200"/>
        <w:jc w:val="both"/>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w:t>
      </w:r>
      <w:r>
        <w:rPr>
          <w:rFonts w:hint="eastAsia" w:ascii="楷体_GB2312" w:hAnsi="楷体_GB2312" w:eastAsia="楷体_GB2312" w:cs="楷体_GB2312"/>
          <w:sz w:val="32"/>
          <w:szCs w:val="32"/>
          <w:highlight w:val="none"/>
          <w:lang w:eastAsia="zh-CN"/>
        </w:rPr>
        <w:t>丰富载体，</w:t>
      </w:r>
      <w:r>
        <w:rPr>
          <w:rFonts w:hint="eastAsia" w:ascii="楷体_GB2312" w:hAnsi="楷体_GB2312" w:eastAsia="楷体_GB2312" w:cs="楷体_GB2312"/>
          <w:sz w:val="32"/>
          <w:szCs w:val="32"/>
          <w:highlight w:val="none"/>
          <w:lang w:val="en-US" w:eastAsia="zh-CN"/>
        </w:rPr>
        <w:t>齐抓共管</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助力社会大局和谐稳定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开展家庭教育活动。</w:t>
      </w:r>
      <w:r>
        <w:rPr>
          <w:rFonts w:hint="eastAsia" w:ascii="仿宋_GB2312" w:hAnsi="仿宋_GB2312" w:eastAsia="仿宋_GB2312" w:cs="仿宋_GB2312"/>
          <w:kern w:val="2"/>
          <w:sz w:val="32"/>
          <w:szCs w:val="32"/>
          <w:lang w:val="en-US" w:eastAsia="zh-CN" w:bidi="ar-SA"/>
        </w:rPr>
        <w:t>成立全市首个法院、妇联联合组建的家庭教育指导服务中心，以“1+15+N”（即：1个家庭教育指导服务中心，15个家庭教育指导服务站，n个家长学校）组织架构建立“县-乡（镇）-村（社区）”三级联动家庭教育服务体系，强化家庭教育指导师资队伍建设。今年已开展家庭教育宣讲活动9场。持续开展“三进一送”活动，先后在前营乡、赵庄镇等乡镇开展防溺水讲座、防性侵公益课堂、家庭教育送课下乡活动。以“小手拉大手 书香飘万家”为主题，常态化开展亲子阅读活动35场次。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助力社区矫正帮扶。</w:t>
      </w:r>
      <w:r>
        <w:rPr>
          <w:rFonts w:hint="eastAsia" w:ascii="仿宋_GB2312" w:hAnsi="仿宋_GB2312" w:eastAsia="仿宋_GB2312" w:cs="仿宋_GB2312"/>
          <w:kern w:val="2"/>
          <w:sz w:val="32"/>
          <w:szCs w:val="32"/>
          <w:lang w:val="en-US" w:eastAsia="zh-CN" w:bidi="ar-SA"/>
        </w:rPr>
        <w:t>依托省级“巧媳妇基地”宝丰县宝莉莱服饰有限公司这一平台，与县司法局联合成立“巾帼暖阳”社区矫正就业帮扶基地，面向女性社区矫正对象提供各种就业培训和技能培训，帮助她们提升自身素养和就业竞争力，帮助女性社区矫正对象顺利融入社会，实现自我价值，为社会和谐安全稳定做出积极贡献。</w:t>
      </w:r>
    </w:p>
    <w:p>
      <w:p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w:t>
      </w:r>
    </w:p>
    <w:p>
      <w:pPr>
        <w:pStyle w:val="5"/>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 w:eastAsia="仿宋_GB2312" w:cs="Times New Roman"/>
          <w:kern w:val="2"/>
          <w:sz w:val="32"/>
          <w:szCs w:val="32"/>
          <w:highlight w:val="none"/>
          <w:lang w:val="en-US" w:eastAsia="zh-CN" w:bidi="ar-SA"/>
        </w:rPr>
        <w:t>2023年在</w:t>
      </w:r>
      <w:r>
        <w:rPr>
          <w:rFonts w:hint="eastAsia" w:ascii="仿宋_GB2312" w:hAnsi="仿宋_GB2312" w:eastAsia="仿宋_GB2312" w:cs="仿宋_GB2312"/>
          <w:sz w:val="32"/>
          <w:szCs w:val="32"/>
          <w:highlight w:val="none"/>
          <w:lang w:val="en-US" w:eastAsia="zh-CN"/>
        </w:rPr>
        <w:t>法治</w:t>
      </w:r>
      <w:r>
        <w:rPr>
          <w:rFonts w:hint="eastAsia" w:ascii="仿宋_GB2312" w:hAnsi="仿宋" w:eastAsia="仿宋_GB2312" w:cs="Times New Roman"/>
          <w:kern w:val="2"/>
          <w:sz w:val="32"/>
          <w:szCs w:val="32"/>
          <w:highlight w:val="none"/>
          <w:lang w:val="en-US" w:eastAsia="zh-CN" w:bidi="ar-SA"/>
        </w:rPr>
        <w:t>建设工作中取得了一些成绩，但离妇女儿童群众的期盼还有差距和不足。法治宣传教育仍存在薄弱环节，法治宣传广度和深度还不够，法治宣传教育方式方法不多，学法氛围还不够浓厚。</w:t>
      </w:r>
    </w:p>
    <w:p>
      <w:p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三、下一步打算</w:t>
      </w:r>
    </w:p>
    <w:p>
      <w:pPr>
        <w:pStyle w:val="5"/>
        <w:keepNext w:val="0"/>
        <w:keepLines w:val="0"/>
        <w:pageBreakBefore w:val="0"/>
        <w:kinsoku/>
        <w:wordWrap/>
        <w:overflowPunct/>
        <w:topLinePunct w:val="0"/>
        <w:autoSpaceDE/>
        <w:autoSpaceDN/>
        <w:bidi w:val="0"/>
        <w:adjustRightInd/>
        <w:snapToGrid/>
        <w:spacing w:before="0" w:beforeAutospacing="0" w:after="0" w:line="240" w:lineRule="auto"/>
        <w:ind w:left="0" w:leftChars="0" w:firstLine="640" w:firstLineChars="200"/>
        <w:textAlignment w:val="auto"/>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color w:val="000000"/>
          <w:spacing w:val="0"/>
          <w:kern w:val="2"/>
          <w:sz w:val="32"/>
          <w:szCs w:val="32"/>
          <w:highlight w:val="none"/>
          <w:lang w:val="en-US" w:eastAsia="zh-CN" w:bidi="ar-SA"/>
        </w:rPr>
        <w:t>一是</w:t>
      </w:r>
      <w:r>
        <w:rPr>
          <w:rFonts w:hint="eastAsia" w:ascii="仿宋_GB2312" w:hAnsi="仿宋_GB2312" w:eastAsia="仿宋_GB2312" w:cs="仿宋_GB2312"/>
          <w:snapToGrid w:val="0"/>
          <w:kern w:val="0"/>
          <w:sz w:val="32"/>
          <w:szCs w:val="32"/>
          <w:lang w:val="en-US" w:eastAsia="zh-CN" w:bidi="ar-SA"/>
        </w:rPr>
        <w:t>持续开展形式多样的普法活动，进一步增强广大妇女儿童遵纪守法、依法维权的意识和能力，营造尊重和保障妇女儿童合法权益的良好法治氛围，为法治建设贡献巾帼力量。</w:t>
      </w:r>
    </w:p>
    <w:p>
      <w:pPr>
        <w:pStyle w:val="5"/>
        <w:keepNext w:val="0"/>
        <w:keepLines w:val="0"/>
        <w:pageBreakBefore w:val="0"/>
        <w:kinsoku/>
        <w:wordWrap/>
        <w:overflowPunct/>
        <w:topLinePunct w:val="0"/>
        <w:autoSpaceDE/>
        <w:autoSpaceDN/>
        <w:bidi w:val="0"/>
        <w:adjustRightInd/>
        <w:snapToGrid/>
        <w:spacing w:before="0" w:beforeAutospacing="0" w:after="0" w:line="240" w:lineRule="auto"/>
        <w:ind w:left="0" w:leftChars="0" w:firstLine="640" w:firstLineChars="200"/>
        <w:textAlignment w:val="auto"/>
        <w:rPr>
          <w:rFonts w:hint="eastAsia" w:ascii="仿宋_GB2312" w:hAnsi="仿宋" w:eastAsia="仿宋_GB2312" w:cs="Times New Roman"/>
          <w:b w:val="0"/>
          <w:bCs/>
          <w:spacing w:val="0"/>
          <w:kern w:val="2"/>
          <w:sz w:val="32"/>
          <w:szCs w:val="32"/>
          <w:highlight w:val="none"/>
          <w:lang w:val="en-US" w:eastAsia="zh-CN" w:bidi="ar-SA"/>
        </w:rPr>
      </w:pPr>
      <w:r>
        <w:rPr>
          <w:rFonts w:hint="eastAsia" w:ascii="仿宋_GB2312" w:hAnsi="仿宋_GB2312" w:eastAsia="仿宋_GB2312" w:cs="仿宋_GB2312"/>
          <w:spacing w:val="0"/>
          <w:kern w:val="2"/>
          <w:sz w:val="32"/>
          <w:szCs w:val="32"/>
          <w:highlight w:val="none"/>
          <w:lang w:val="en-US" w:eastAsia="zh-CN" w:bidi="ar-SA"/>
        </w:rPr>
        <w:t>二是</w:t>
      </w:r>
      <w:r>
        <w:rPr>
          <w:rFonts w:hint="eastAsia" w:ascii="仿宋_GB2312" w:hAnsi="仿宋" w:eastAsia="仿宋_GB2312" w:cs="Times New Roman"/>
          <w:b w:val="0"/>
          <w:bCs/>
          <w:spacing w:val="0"/>
          <w:kern w:val="2"/>
          <w:sz w:val="32"/>
          <w:szCs w:val="32"/>
          <w:highlight w:val="none"/>
          <w:lang w:val="en-US" w:eastAsia="zh-CN" w:bidi="ar-SA"/>
        </w:rPr>
        <w:t>持续推进“巾帼法律明白人”培育工程。进一步提升“巾帼法律明白人”骨干法律素养和工作能力，扩大基层普法覆盖面，依法维护妇女儿童权益，有效预防化解婚姻家庭矛盾，打通服务基层妇女群众的“最后一公里”，为助力乡村振兴营造良好法治环境。</w:t>
      </w:r>
    </w:p>
    <w:p>
      <w:pPr>
        <w:pStyle w:val="4"/>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both"/>
        <w:textAlignment w:val="auto"/>
        <w:rPr>
          <w:rFonts w:hint="eastAsia" w:ascii="仿宋_GB2312" w:hAnsi="微软雅黑" w:eastAsia="仿宋_GB2312" w:cs="仿宋_GB2312"/>
          <w:i w:val="0"/>
          <w:iCs w:val="0"/>
          <w:caps w:val="0"/>
          <w:color w:val="000000"/>
          <w:spacing w:val="0"/>
          <w:sz w:val="32"/>
          <w:szCs w:val="32"/>
          <w:highlight w:val="none"/>
          <w:shd w:val="clear" w:color="auto" w:fill="FFFFFF"/>
          <w:lang w:val="en-US" w:eastAsia="zh-CN"/>
        </w:rPr>
      </w:pPr>
      <w:r>
        <w:rPr>
          <w:rFonts w:hint="eastAsia" w:ascii="仿宋_GB2312" w:hAnsi="微软雅黑" w:eastAsia="仿宋_GB2312" w:cs="仿宋_GB2312"/>
          <w:i w:val="0"/>
          <w:iCs w:val="0"/>
          <w:caps w:val="0"/>
          <w:color w:val="000000"/>
          <w:spacing w:val="0"/>
          <w:sz w:val="32"/>
          <w:szCs w:val="32"/>
          <w:highlight w:val="none"/>
          <w:shd w:val="clear" w:color="auto" w:fill="FFFFFF"/>
          <w:lang w:val="en-US" w:eastAsia="zh-CN"/>
        </w:rPr>
        <w:t>三是</w:t>
      </w:r>
      <w:r>
        <w:rPr>
          <w:rFonts w:hint="default" w:ascii="仿宋_GB2312" w:hAnsi="微软雅黑" w:eastAsia="仿宋_GB2312" w:cs="仿宋_GB2312"/>
          <w:i w:val="0"/>
          <w:iCs w:val="0"/>
          <w:caps w:val="0"/>
          <w:color w:val="000000"/>
          <w:spacing w:val="0"/>
          <w:sz w:val="32"/>
          <w:szCs w:val="32"/>
          <w:highlight w:val="none"/>
          <w:shd w:val="clear" w:color="auto" w:fill="FFFFFF"/>
          <w:lang w:val="en-US" w:eastAsia="zh-CN"/>
        </w:rPr>
        <w:t>深入</w:t>
      </w:r>
      <w:r>
        <w:rPr>
          <w:rFonts w:hint="eastAsia" w:ascii="仿宋_GB2312" w:hAnsi="微软雅黑" w:eastAsia="仿宋_GB2312" w:cs="仿宋_GB2312"/>
          <w:i w:val="0"/>
          <w:iCs w:val="0"/>
          <w:caps w:val="0"/>
          <w:color w:val="000000"/>
          <w:spacing w:val="0"/>
          <w:sz w:val="32"/>
          <w:szCs w:val="32"/>
          <w:highlight w:val="none"/>
          <w:shd w:val="clear" w:color="auto" w:fill="FFFFFF"/>
          <w:lang w:val="en-US" w:eastAsia="zh-CN"/>
        </w:rPr>
        <w:t>实施“三进一送”系列活动，开展以防性侵、防溺水、交通安全、消防安全等安全教育宣传，促进未成年人健康成长。整合社会资源，持续关注留守儿童、困境儿童等特殊困难群体，帮助解决急难愁盼问题。</w:t>
      </w:r>
    </w:p>
    <w:p>
      <w:pPr>
        <w:pStyle w:val="5"/>
        <w:keepNext w:val="0"/>
        <w:keepLines w:val="0"/>
        <w:pageBreakBefore w:val="0"/>
        <w:kinsoku/>
        <w:wordWrap/>
        <w:overflowPunct/>
        <w:topLinePunct w:val="0"/>
        <w:autoSpaceDE/>
        <w:autoSpaceDN/>
        <w:bidi w:val="0"/>
        <w:adjustRightInd/>
        <w:snapToGrid/>
        <w:spacing w:before="0" w:beforeAutospacing="0" w:line="240" w:lineRule="auto"/>
        <w:ind w:left="0" w:leftChars="0" w:firstLine="640" w:firstLineChars="200"/>
        <w:jc w:val="right"/>
        <w:textAlignment w:val="auto"/>
        <w:rPr>
          <w:rFonts w:hint="eastAsia" w:ascii="仿宋_GB2312" w:hAnsi="仿宋_GB2312" w:eastAsia="仿宋_GB2312" w:cs="仿宋_GB2312"/>
          <w:kern w:val="2"/>
          <w:sz w:val="32"/>
          <w:szCs w:val="32"/>
          <w:lang w:val="en-US" w:eastAsia="zh-CN" w:bidi="ar-SA"/>
        </w:rPr>
      </w:pPr>
    </w:p>
    <w:p>
      <w:pPr>
        <w:pStyle w:val="5"/>
        <w:keepNext w:val="0"/>
        <w:keepLines w:val="0"/>
        <w:pageBreakBefore w:val="0"/>
        <w:kinsoku/>
        <w:wordWrap/>
        <w:overflowPunct/>
        <w:topLinePunct w:val="0"/>
        <w:autoSpaceDE/>
        <w:autoSpaceDN/>
        <w:bidi w:val="0"/>
        <w:adjustRightInd/>
        <w:snapToGrid/>
        <w:spacing w:before="0" w:beforeAutospacing="0" w:line="240" w:lineRule="auto"/>
        <w:ind w:left="0" w:leftChars="0" w:firstLine="640" w:firstLineChars="200"/>
        <w:jc w:val="right"/>
        <w:textAlignment w:val="auto"/>
        <w:rPr>
          <w:rFonts w:hint="eastAsia" w:ascii="仿宋_GB2312" w:hAnsi="仿宋_GB2312" w:eastAsia="仿宋_GB2312" w:cs="仿宋_GB2312"/>
          <w:kern w:val="2"/>
          <w:sz w:val="32"/>
          <w:szCs w:val="32"/>
          <w:lang w:val="en-US" w:eastAsia="zh-CN" w:bidi="ar-SA"/>
        </w:rPr>
      </w:pPr>
    </w:p>
    <w:p>
      <w:pPr>
        <w:pStyle w:val="5"/>
        <w:keepNext w:val="0"/>
        <w:keepLines w:val="0"/>
        <w:pageBreakBefore w:val="0"/>
        <w:kinsoku/>
        <w:wordWrap/>
        <w:overflowPunct/>
        <w:topLinePunct w:val="0"/>
        <w:autoSpaceDE/>
        <w:autoSpaceDN/>
        <w:bidi w:val="0"/>
        <w:adjustRightInd/>
        <w:snapToGrid/>
        <w:spacing w:before="0" w:beforeAutospacing="0" w:line="240" w:lineRule="auto"/>
        <w:ind w:left="0" w:leftChars="0" w:firstLine="640" w:firstLineChars="200"/>
        <w:jc w:val="right"/>
        <w:textAlignment w:val="auto"/>
        <w:rPr>
          <w:rFonts w:hint="default" w:ascii="仿宋_GB2312" w:hAnsi="仿宋_GB2312" w:eastAsia="仿宋_GB2312" w:cs="仿宋_GB2312"/>
          <w:snapToGrid w:val="0"/>
          <w:kern w:val="0"/>
          <w:sz w:val="32"/>
          <w:szCs w:val="32"/>
          <w:lang w:val="en-US" w:eastAsia="zh-CN" w:bidi="ar-SA"/>
        </w:rPr>
      </w:pPr>
      <w:bookmarkStart w:id="0" w:name="_GoBack"/>
      <w:bookmarkEnd w:id="0"/>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27CC668A"/>
    <w:rsid w:val="27CC668A"/>
    <w:rsid w:val="2DA82AB1"/>
    <w:rsid w:val="374E77AF"/>
    <w:rsid w:val="376347F7"/>
    <w:rsid w:val="43641879"/>
    <w:rsid w:val="578A6C00"/>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unhideWhenUsed/>
    <w:qFormat/>
    <w:uiPriority w:val="99"/>
  </w:style>
  <w:style w:type="paragraph" w:styleId="3">
    <w:name w:val="toc 3"/>
    <w:basedOn w:val="1"/>
    <w:next w:val="1"/>
    <w:qFormat/>
    <w:uiPriority w:val="0"/>
    <w:pPr>
      <w:ind w:left="420"/>
    </w:pPr>
    <w:rPr>
      <w:rFonts w:ascii="等线" w:hAnsi="等线" w:eastAsia="等线"/>
      <w:b/>
      <w:sz w:val="30"/>
      <w:szCs w:val="30"/>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autoRedefine/>
    <w:qFormat/>
    <w:uiPriority w:val="0"/>
    <w:pPr>
      <w:widowControl w:val="0"/>
      <w:spacing w:after="0"/>
      <w:ind w:firstLine="420" w:firstLineChars="100"/>
      <w:jc w:val="both"/>
    </w:pPr>
    <w:rPr>
      <w:rFonts w:ascii="Calibri" w:hAnsi="Calibri" w:eastAsia="宋体" w:cs="Times New Roman"/>
      <w:kern w:val="2"/>
      <w:sz w:val="21"/>
      <w:szCs w:val="24"/>
      <w:lang w:val="en-US" w:eastAsia="zh-CN" w:bidi="ar-SA"/>
    </w:rPr>
  </w:style>
  <w:style w:type="paragraph" w:styleId="6">
    <w:name w:val="Body Text First Indent 2"/>
    <w:autoRedefine/>
    <w:qFormat/>
    <w:uiPriority w:val="0"/>
    <w:pPr>
      <w:widowControl w:val="0"/>
      <w:ind w:firstLine="420" w:firstLineChars="200"/>
      <w:jc w:val="both"/>
    </w:pPr>
    <w:rPr>
      <w:rFonts w:ascii="Times New Roman" w:hAnsi="Times New Roman" w:eastAsia="宋体" w:cs="Times New Roman"/>
      <w:kern w:val="0"/>
      <w:sz w:val="20"/>
      <w:szCs w:val="21"/>
      <w:lang w:val="en-US" w:eastAsia="zh-CN" w:bidi="ar-SA"/>
    </w:rPr>
  </w:style>
  <w:style w:type="paragraph" w:customStyle="1" w:styleId="9">
    <w:name w:val="Body Text First Indent1"/>
    <w:basedOn w:val="2"/>
    <w:autoRedefine/>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2023-12-14T03:21:00Z</dcterms:created>
  <dc:creator>李李</dc:creator>
  <cp:lastModifiedBy>大海</cp:lastModifiedBy>
  <cp:lastPrinted>2024-01-04T01:23:00Z</cp:lastPrinted>
  <dcterms:modified xsi:type="dcterms:W3CDTF">2024-02-20T07:54:05Z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14779F275A5747CEBB4E802AF944D2D4_13</vt:lpwstr>
  </property>
</Properties>
</file>